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027/2019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da Escola Municipal de Ensino Fundamental Professor Ivo Antônio Rech.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Professor Ivo Antônio Rech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4536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008/2016.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36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 Os Planos de Estudos, porém, serão válidos somente com a seguinte emenda: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Língua Portuguesa”, leia-se “Área do conhecimento: Linguagens/Componente curricular: Língua Portuguesa”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Língua Inglesa”, leia-se “Área do conhecimento: Linguagens/Componente curricular: Língua Inglesa”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6º, 7º, 8º e 9º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Arte”, leia-se “Área do conhecimento: Linguagens/Componente Curricular: Arte”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Educação Física”, leia-se “Área do conhecimento: Linguagens/Componente Curricular: Educação Física”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Matemática”, leia-se “Área do conhecimento: Matemática/Componente curricular: Matemática”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Ciências”, leia-se “Área do conhecimento: Ciências da Natureza/Componente curricular: Ciências”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História”, leia-se “Área do conhecimento: Ciências Humanas/ Componente curricular: História”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Geografia”, leia-se “Área do conhecimento: Ciências Humanas/Componente curricular: Geografia”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 está escrito “Área do conhecimento: Ensino Religioso”, leia-se “Área do conhecimento: Ensino Religioso/Componente curricular: Ensino Religioso”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09 de outubro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1675" cy="8667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093" l="-495" r="-495" t="-1094"/>
                  <a:stretch>
                    <a:fillRect/>
                  </a:stretch>
                </pic:blipFill>
                <pic:spPr>
                  <a:xfrm>
                    <a:off x="0" y="0"/>
                    <a:ext cx="1971675" cy="866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